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44. Health Science Cluster - Dental Health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dental hygienist and dental assistant roles.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w:t>
            </w:r>
            <w:r w:rsidDel="00000000" w:rsidR="00000000" w:rsidRPr="00000000">
              <w:rPr>
                <w:rFonts w:ascii="Nunito" w:cs="Nunito" w:eastAsia="Nunito" w:hAnsi="Nunito"/>
                <w:rtl w:val="0"/>
              </w:rPr>
              <w:t xml:space="preserve">, W.5.1.3, M.2.2.4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simple charts, graphs, and labels to extract information and answer questions</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Participate in dialogues with peers concerning dental health careers</w:t>
            </w:r>
          </w:p>
          <w:p w:rsidR="00000000" w:rsidDel="00000000" w:rsidP="00000000" w:rsidRDefault="00000000" w:rsidRPr="00000000" w14:paraId="00000015">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measurement and estimation skills to solve problems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professionalism, </w:t>
              <w:br w:type="textWrapping"/>
              <w:t xml:space="preserve">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rtl w:val="0"/>
              </w:rPr>
              <w:t xml:space="preserve">Math: </w:t>
              <w:br w:type="textWrapping"/>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Choose the Unit: Liquid Volume | Worksheet | Education.com</w:t>
              </w:r>
            </w:hyperlink>
            <w:r w:rsidDel="00000000" w:rsidR="00000000" w:rsidRPr="00000000">
              <w:rPr>
                <w:rFonts w:ascii="Nunito" w:cs="Nunito" w:eastAsia="Nunito" w:hAnsi="Nunito"/>
                <w:rtl w:val="0"/>
              </w:rPr>
              <w:br w:type="textWrapping"/>
            </w:r>
            <w:hyperlink r:id="rId8">
              <w:r w:rsidDel="00000000" w:rsidR="00000000" w:rsidRPr="00000000">
                <w:rPr>
                  <w:rFonts w:ascii="Nunito" w:cs="Nunito" w:eastAsia="Nunito" w:hAnsi="Nunito"/>
                  <w:color w:val="1155cc"/>
                  <w:u w:val="single"/>
                  <w:rtl w:val="0"/>
                </w:rPr>
                <w:t xml:space="preserve">Liquid Volume Equivalents #1 | Worksheet | Education.com</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u w:val="single"/>
                  <w:rtl w:val="0"/>
                </w:rPr>
                <w:t xml:space="preserve">Dental Assistants : Occupational Outlook Handbook</w:t>
              </w:r>
            </w:hyperlink>
            <w:r w:rsidDel="00000000" w:rsidR="00000000" w:rsidRPr="00000000">
              <w:rPr>
                <w:rFonts w:ascii="Nunito" w:cs="Nunito" w:eastAsia="Nunito" w:hAnsi="Nunito"/>
                <w:rtl w:val="0"/>
              </w:rPr>
              <w:t xml:space="preserve"> </w:t>
              <w:br w:type="textWrapping"/>
            </w:r>
            <w:hyperlink r:id="rId10">
              <w:r w:rsidDel="00000000" w:rsidR="00000000" w:rsidRPr="00000000">
                <w:rPr>
                  <w:rFonts w:ascii="Nunito" w:cs="Nunito" w:eastAsia="Nunito" w:hAnsi="Nunito"/>
                  <w:color w:val="1155cc"/>
                  <w:u w:val="single"/>
                  <w:rtl w:val="0"/>
                </w:rPr>
                <w:t xml:space="preserve">Dental Hygienists : Occupational Outlook Handbook</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4xf1jz3s70dh" w:id="0"/>
            <w:bookmarkEnd w:id="0"/>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D">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F">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2">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0">
      <w:pPr>
        <w:numPr>
          <w:ilvl w:val="1"/>
          <w:numId w:val="2"/>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Choose the Unit: Liquid Volume | Worksheet | Education.com</w:t>
        </w:r>
      </w:hyperlink>
      <w:r w:rsidDel="00000000" w:rsidR="00000000" w:rsidRPr="00000000">
        <w:rPr>
          <w:rtl w:val="0"/>
        </w:rPr>
      </w:r>
    </w:p>
    <w:p w:rsidR="00000000" w:rsidDel="00000000" w:rsidP="00000000" w:rsidRDefault="00000000" w:rsidRPr="00000000" w14:paraId="00000041">
      <w:pPr>
        <w:numPr>
          <w:ilvl w:val="1"/>
          <w:numId w:val="2"/>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Liquid Volume Equivalents #1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2">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following links and be prepared to answer questions: </w:t>
      </w:r>
    </w:p>
    <w:p w:rsidR="00000000" w:rsidDel="00000000" w:rsidP="00000000" w:rsidRDefault="00000000" w:rsidRPr="00000000" w14:paraId="00000043">
      <w:pPr>
        <w:numPr>
          <w:ilvl w:val="1"/>
          <w:numId w:val="2"/>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Dental Assistants : Occupational Outlook Handbook</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4">
      <w:pPr>
        <w:numPr>
          <w:ilvl w:val="1"/>
          <w:numId w:val="2"/>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Dental Hygienists : Occupational Outlook Handbook</w:t>
        </w:r>
      </w:hyperlink>
      <w:r w:rsidDel="00000000" w:rsidR="00000000" w:rsidRPr="00000000">
        <w:rPr>
          <w:rtl w:val="0"/>
        </w:rPr>
      </w:r>
    </w:p>
    <w:p w:rsidR="00000000" w:rsidDel="00000000" w:rsidP="00000000" w:rsidRDefault="00000000" w:rsidRPr="00000000" w14:paraId="00000045">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7">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7">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8">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8">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9">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9">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Skills to Pay the Bills</w:t>
        </w:r>
      </w:hyperlink>
      <w:hyperlink r:id="rId21">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A">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Ask students to share a memory from their past that is related to dental health. It could be a visit to the dentist, a memorable experience with oral hygiene, or even a funny tooth-related story.</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each student to take turns sharing their memory with the class.</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students share, the class can engage in a brief discussion or ask questions related to the shared memory. Here are some ideas for you, feel free to select questions from here got guide the discussion. </w:t>
      </w:r>
    </w:p>
    <w:p w:rsidR="00000000" w:rsidDel="00000000" w:rsidP="00000000" w:rsidRDefault="00000000" w:rsidRPr="00000000" w14:paraId="00000050">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that experience make you feel?</w:t>
      </w:r>
    </w:p>
    <w:p w:rsidR="00000000" w:rsidDel="00000000" w:rsidP="00000000" w:rsidRDefault="00000000" w:rsidRPr="00000000" w14:paraId="00000051">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did you learn from that experience?</w:t>
      </w:r>
    </w:p>
    <w:p w:rsidR="00000000" w:rsidDel="00000000" w:rsidP="00000000" w:rsidRDefault="00000000" w:rsidRPr="00000000" w14:paraId="00000052">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does that memory relate to what we're learning today about dental health careers?</w:t>
      </w:r>
    </w:p>
    <w:p w:rsidR="00000000" w:rsidDel="00000000" w:rsidP="00000000" w:rsidRDefault="00000000" w:rsidRPr="00000000" w14:paraId="00000053">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Do you think that memory might have influenced your perspective on oral health or dental professionals?</w:t>
      </w:r>
    </w:p>
    <w:p w:rsidR="00000000" w:rsidDel="00000000" w:rsidP="00000000" w:rsidRDefault="00000000" w:rsidRPr="00000000" w14:paraId="00000054">
      <w:pPr>
        <w:tabs>
          <w:tab w:val="left" w:leader="none" w:pos="2180"/>
        </w:tabs>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5">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Briefly review the Health Science Cluster and how dental careers fit in. Highlight that this lesson will focus on dental assistants and dental hygienists.</w:t>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practice handout to students and allow 15 minutes for completion.  Demonstrate how they they should search for words in the provided grid with one word.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Review the solution with the class and ask students to define the words.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share </w:t>
      </w:r>
      <w:hyperlink r:id="rId22">
        <w:r w:rsidDel="00000000" w:rsidR="00000000" w:rsidRPr="00000000">
          <w:rPr>
            <w:rFonts w:ascii="Nunito" w:cs="Nunito" w:eastAsia="Nunito" w:hAnsi="Nunito"/>
            <w:color w:val="1155cc"/>
            <w:u w:val="single"/>
            <w:rtl w:val="0"/>
          </w:rPr>
          <w:t xml:space="preserve">Dental Assistants : Occupational Outlook Handbook</w:t>
        </w:r>
      </w:hyperlink>
      <w:r w:rsidDel="00000000" w:rsidR="00000000" w:rsidRPr="00000000">
        <w:rPr>
          <w:rFonts w:ascii="Nunito" w:cs="Nunito" w:eastAsia="Nunito" w:hAnsi="Nunito"/>
          <w:rtl w:val="0"/>
        </w:rPr>
        <w:t xml:space="preserve"> and </w:t>
      </w:r>
      <w:hyperlink r:id="rId23">
        <w:r w:rsidDel="00000000" w:rsidR="00000000" w:rsidRPr="00000000">
          <w:rPr>
            <w:rFonts w:ascii="Nunito" w:cs="Nunito" w:eastAsia="Nunito" w:hAnsi="Nunito"/>
            <w:color w:val="1155cc"/>
            <w:u w:val="single"/>
            <w:rtl w:val="0"/>
          </w:rPr>
          <w:t xml:space="preserve">Dental Hygienists : Occupational Outlook Handbook</w:t>
        </w:r>
      </w:hyperlink>
      <w:r w:rsidDel="00000000" w:rsidR="00000000" w:rsidRPr="00000000">
        <w:rPr>
          <w:rFonts w:ascii="Nunito" w:cs="Nunito" w:eastAsia="Nunito" w:hAnsi="Nunito"/>
          <w:rtl w:val="0"/>
        </w:rPr>
        <w:t xml:space="preserve">. Alternatively you can project these links one after the other for this activity.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go to the Job Outlook tab. Explain that the information presented here is an example of text supplemented with charts and graphs. Ask students to read  the text and to identify and analyze the charts and graphs both dental assistants and dental hygienists.</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discuss the projected employment growth and other career-related data presented.</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consider the importance of these insights in making informed decisions about career paths.</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Allow 30 minutes for students to read, analyze and discuss both the links. </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comprehension questions to check for understanding</w:t>
        <w:br w:type="textWrapping"/>
      </w:r>
    </w:p>
    <w:p w:rsidR="00000000" w:rsidDel="00000000" w:rsidP="00000000" w:rsidRDefault="00000000" w:rsidRPr="00000000" w14:paraId="0000006C">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projected employment growth for dental assistants and dental hygienists?</w:t>
      </w:r>
    </w:p>
    <w:p w:rsidR="00000000" w:rsidDel="00000000" w:rsidP="00000000" w:rsidRDefault="00000000" w:rsidRPr="00000000" w14:paraId="0000006D">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might this data influence your perceptions of these dental health careers?</w:t>
      </w:r>
    </w:p>
    <w:p w:rsidR="00000000" w:rsidDel="00000000" w:rsidP="00000000" w:rsidRDefault="00000000" w:rsidRPr="00000000" w14:paraId="0000006E">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other information do the charts and graphs provide about the job outlook for these professions?</w:t>
      </w:r>
    </w:p>
    <w:p w:rsidR="00000000" w:rsidDel="00000000" w:rsidP="00000000" w:rsidRDefault="00000000" w:rsidRPr="00000000" w14:paraId="0000006F">
      <w:pPr>
        <w:numPr>
          <w:ilvl w:val="0"/>
          <w:numId w:val="1"/>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(Optional) What can you infer from the Quick Facts Chart on the Summary tab? </w:t>
      </w:r>
    </w:p>
    <w:p w:rsidR="00000000" w:rsidDel="00000000" w:rsidP="00000000" w:rsidRDefault="00000000" w:rsidRPr="00000000" w14:paraId="00000070">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Provide individual support for students to interpret the graph in relation to the text.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widowControl w:val="0"/>
              <w:spacing w:line="240" w:lineRule="auto"/>
              <w:ind w:left="0" w:firstLine="0"/>
              <w:rPr>
                <w:rFonts w:ascii="Nunito" w:cs="Nunito" w:eastAsia="Nunito" w:hAnsi="Nunito"/>
                <w:i w:val="1"/>
              </w:rPr>
            </w:pPr>
            <w:r w:rsidDel="00000000" w:rsidR="00000000" w:rsidRPr="00000000">
              <w:rPr>
                <w:rFonts w:ascii="Nunito" w:cs="Nunito" w:eastAsia="Nunito" w:hAnsi="Nunito"/>
                <w:rtl w:val="0"/>
              </w:rPr>
              <w:t xml:space="preserve">Encourage students to explore the Summary tab and interpret the chart presented. </w:t>
            </w:r>
            <w:r w:rsidDel="00000000" w:rsidR="00000000" w:rsidRPr="00000000">
              <w:rPr>
                <w:rtl w:val="0"/>
              </w:rPr>
            </w:r>
          </w:p>
        </w:tc>
      </w:tr>
    </w:tbl>
    <w:p w:rsidR="00000000" w:rsidDel="00000000" w:rsidP="00000000" w:rsidRDefault="00000000" w:rsidRPr="00000000" w14:paraId="00000075">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Begin by explaining the relevance of measurement and estimation skills in dental health careers. Mention that professionals often need to accurately measure and estimate liquid volumes for various tasks, such as preparing solutions, medications, and mouthwashes.</w:t>
      </w:r>
    </w:p>
    <w:p w:rsidR="00000000" w:rsidDel="00000000" w:rsidP="00000000" w:rsidRDefault="00000000" w:rsidRPr="00000000" w14:paraId="00000079">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Provide the students with a scenario:</w:t>
      </w:r>
    </w:p>
    <w:p w:rsidR="00000000" w:rsidDel="00000000" w:rsidP="00000000" w:rsidRDefault="00000000" w:rsidRPr="00000000" w14:paraId="0000007B">
      <w:pPr>
        <w:spacing w:line="240" w:lineRule="auto"/>
        <w:ind w:left="0" w:firstLine="0"/>
        <w:rPr>
          <w:rFonts w:ascii="Nunito" w:cs="Nunito" w:eastAsia="Nunito" w:hAnsi="Nunito"/>
          <w:i w:val="1"/>
        </w:rPr>
      </w:pPr>
      <w:r w:rsidDel="00000000" w:rsidR="00000000" w:rsidRPr="00000000">
        <w:rPr>
          <w:rFonts w:ascii="Nunito" w:cs="Nunito" w:eastAsia="Nunito" w:hAnsi="Nunito"/>
          <w:i w:val="1"/>
          <w:rtl w:val="0"/>
        </w:rPr>
        <w:t xml:space="preserve">"As a dental assistant, you are tasked with preparing a mouthwash solution for a patient. The dentist prescribes a specific volume of mouthwash. Your job is to accurately measure the required amount."</w:t>
      </w:r>
    </w:p>
    <w:p w:rsidR="00000000" w:rsidDel="00000000" w:rsidP="00000000" w:rsidRDefault="00000000" w:rsidRPr="00000000" w14:paraId="0000007C">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 </w:t>
      </w:r>
      <w:hyperlink r:id="rId24">
        <w:r w:rsidDel="00000000" w:rsidR="00000000" w:rsidRPr="00000000">
          <w:rPr>
            <w:rFonts w:ascii="Nunito" w:cs="Nunito" w:eastAsia="Nunito" w:hAnsi="Nunito"/>
            <w:color w:val="1155cc"/>
            <w:u w:val="single"/>
            <w:rtl w:val="0"/>
          </w:rPr>
          <w:t xml:space="preserve">Choose the Unit: Liquid Volume</w:t>
        </w:r>
      </w:hyperlink>
      <w:r w:rsidDel="00000000" w:rsidR="00000000" w:rsidRPr="00000000">
        <w:rPr>
          <w:rFonts w:ascii="Nunito" w:cs="Nunito" w:eastAsia="Nunito" w:hAnsi="Nunito"/>
          <w:rtl w:val="0"/>
        </w:rPr>
        <w:t xml:space="preserve"> worksheet to each student.</w:t>
      </w:r>
    </w:p>
    <w:p w:rsidR="00000000" w:rsidDel="00000000" w:rsidP="00000000" w:rsidRDefault="00000000" w:rsidRPr="00000000" w14:paraId="0000007E">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Instruct students to work individually to complete the worksheet, choosing the appropriate unit of measurement for the given volumes.</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precision in measurements.</w:t>
      </w:r>
    </w:p>
    <w:p w:rsidR="00000000" w:rsidDel="00000000" w:rsidP="00000000" w:rsidRDefault="00000000" w:rsidRPr="00000000" w14:paraId="00000080">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Provide the students with the following scenario:</w:t>
      </w:r>
    </w:p>
    <w:p w:rsidR="00000000" w:rsidDel="00000000" w:rsidP="00000000" w:rsidRDefault="00000000" w:rsidRPr="00000000" w14:paraId="00000081">
      <w:pPr>
        <w:spacing w:line="240" w:lineRule="auto"/>
        <w:ind w:left="0" w:firstLine="0"/>
        <w:rPr>
          <w:rFonts w:ascii="Nunito" w:cs="Nunito" w:eastAsia="Nunito" w:hAnsi="Nunito"/>
          <w:i w:val="1"/>
        </w:rPr>
      </w:pPr>
      <w:r w:rsidDel="00000000" w:rsidR="00000000" w:rsidRPr="00000000">
        <w:rPr>
          <w:rFonts w:ascii="Nunito" w:cs="Nunito" w:eastAsia="Nunito" w:hAnsi="Nunito"/>
          <w:i w:val="1"/>
          <w:rtl w:val="0"/>
        </w:rPr>
        <w:t xml:space="preserve">"As a dental hygienist, you are responsible for preparing dental solutions for patients. Your task is to estimate the appropriate volume of a dental solution based on different liquid measurement units."</w:t>
      </w:r>
    </w:p>
    <w:p w:rsidR="00000000" w:rsidDel="00000000" w:rsidP="00000000" w:rsidRDefault="00000000" w:rsidRPr="00000000" w14:paraId="00000082">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w:t>
      </w:r>
      <w:hyperlink r:id="rId25">
        <w:r w:rsidDel="00000000" w:rsidR="00000000" w:rsidRPr="00000000">
          <w:rPr>
            <w:rFonts w:ascii="Nunito" w:cs="Nunito" w:eastAsia="Nunito" w:hAnsi="Nunito"/>
            <w:color w:val="1155cc"/>
            <w:u w:val="single"/>
            <w:rtl w:val="0"/>
          </w:rPr>
          <w:t xml:space="preserve"> Liquid Volume Equivalents 1</w:t>
        </w:r>
      </w:hyperlink>
      <w:r w:rsidDel="00000000" w:rsidR="00000000" w:rsidRPr="00000000">
        <w:rPr>
          <w:rFonts w:ascii="Nunito" w:cs="Nunito" w:eastAsia="Nunito" w:hAnsi="Nunito"/>
          <w:rtl w:val="0"/>
        </w:rPr>
        <w:t xml:space="preserve"> worksheet to each student.</w:t>
      </w:r>
    </w:p>
    <w:p w:rsidR="00000000" w:rsidDel="00000000" w:rsidP="00000000" w:rsidRDefault="00000000" w:rsidRPr="00000000" w14:paraId="00000084">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Instruct students to work individually or in pairs to complete the worksheet, focusing on matching the equivalent volumes between different liquid measurement units, such as ounces, pints, cups, quarts, and gallons.</w:t>
      </w:r>
    </w:p>
    <w:p w:rsidR="00000000" w:rsidDel="00000000" w:rsidP="00000000" w:rsidRDefault="00000000" w:rsidRPr="00000000" w14:paraId="00000085">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6">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Walk around and provide support. </w:t>
      </w: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After completing the worksheets, lead a class discussion on the importance of accurate liquid volume measurements in dental health practices.</w:t>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Ask students to reflect on the dental solution scenario and their approach to estimating liquid volume conversions. How did they use the conversion table to match equivalent volumes?</w:t>
        <w:br w:type="textWrapping"/>
        <w:br w:type="textWrapping"/>
        <w:t xml:space="preserve">Summarize the activity by highlighting the significance of accurate liquid volume conversions in dental health careers. Emphasize that these skills directly impact patient care and the quality of dental solutions.</w:t>
      </w:r>
    </w:p>
    <w:p w:rsidR="00000000" w:rsidDel="00000000" w:rsidP="00000000" w:rsidRDefault="00000000" w:rsidRPr="00000000" w14:paraId="0000008B">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Nunito" w:cs="Nunito" w:eastAsia="Nunito" w:hAnsi="Nunito"/>
                <w:rtl w:val="0"/>
              </w:rPr>
              <w:t xml:space="preserve">Offer support by discussing the units of measurement and helping them understand how to convert between units if necessary.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think about the practical implications of accurate liquid volume measurements in preparing dental solutions. Discuss the potential consequences of using incorrect volumes.</w:t>
            </w:r>
            <w:r w:rsidDel="00000000" w:rsidR="00000000" w:rsidRPr="00000000">
              <w:rPr>
                <w:rtl w:val="0"/>
              </w:rPr>
            </w:r>
          </w:p>
        </w:tc>
      </w:tr>
    </w:tbl>
    <w:p w:rsidR="00000000" w:rsidDel="00000000" w:rsidP="00000000" w:rsidRDefault="00000000" w:rsidRPr="00000000" w14:paraId="00000090">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3 students each. Provide each group with one of the following links: </w:t>
      </w:r>
    </w:p>
    <w:p w:rsidR="00000000" w:rsidDel="00000000" w:rsidP="00000000" w:rsidRDefault="00000000" w:rsidRPr="00000000" w14:paraId="00000094">
      <w:pPr>
        <w:tabs>
          <w:tab w:val="left" w:leader="none" w:pos="2180"/>
        </w:tabs>
        <w:ind w:left="720" w:firstLine="0"/>
        <w:rPr>
          <w:rFonts w:ascii="Nunito" w:cs="Nunito" w:eastAsia="Nunito" w:hAnsi="Nunito"/>
        </w:rPr>
      </w:pPr>
      <w:hyperlink r:id="rId26">
        <w:r w:rsidDel="00000000" w:rsidR="00000000" w:rsidRPr="00000000">
          <w:rPr>
            <w:rFonts w:ascii="Nunito" w:cs="Nunito" w:eastAsia="Nunito" w:hAnsi="Nunito"/>
            <w:color w:val="1155cc"/>
            <w:u w:val="single"/>
            <w:rtl w:val="0"/>
          </w:rPr>
          <w:t xml:space="preserve">31-9091.00 - Dental Assistants</w:t>
        </w:r>
      </w:hyperlink>
      <w:r w:rsidDel="00000000" w:rsidR="00000000" w:rsidRPr="00000000">
        <w:rPr>
          <w:rtl w:val="0"/>
        </w:rPr>
      </w:r>
    </w:p>
    <w:p w:rsidR="00000000" w:rsidDel="00000000" w:rsidP="00000000" w:rsidRDefault="00000000" w:rsidRPr="00000000" w14:paraId="00000095">
      <w:pPr>
        <w:tabs>
          <w:tab w:val="left" w:leader="none" w:pos="2180"/>
        </w:tabs>
        <w:ind w:left="720" w:firstLine="0"/>
        <w:rPr>
          <w:rFonts w:ascii="Nunito" w:cs="Nunito" w:eastAsia="Nunito" w:hAnsi="Nunito"/>
        </w:rPr>
      </w:pPr>
      <w:hyperlink r:id="rId27">
        <w:r w:rsidDel="00000000" w:rsidR="00000000" w:rsidRPr="00000000">
          <w:rPr>
            <w:rFonts w:ascii="Nunito" w:cs="Nunito" w:eastAsia="Nunito" w:hAnsi="Nunito"/>
            <w:color w:val="1155cc"/>
            <w:u w:val="single"/>
            <w:rtl w:val="0"/>
          </w:rPr>
          <w:t xml:space="preserve">29-1292.00 - Dental Hygienists</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each group will research and present information about either dental assistants or dental hygienists.</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 set of common research questions for each group to guide their exploration:</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A">
      <w:pPr>
        <w:numPr>
          <w:ilvl w:val="0"/>
          <w:numId w:val="6"/>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the primary clinical duties and responsibilities of dental assistants/dental hygienists?</w:t>
      </w:r>
    </w:p>
    <w:p w:rsidR="00000000" w:rsidDel="00000000" w:rsidP="00000000" w:rsidRDefault="00000000" w:rsidRPr="00000000" w14:paraId="0000009B">
      <w:pPr>
        <w:numPr>
          <w:ilvl w:val="0"/>
          <w:numId w:val="6"/>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do dental assistants/dental hygienists contribute to patient care and treatment procedures?</w:t>
      </w:r>
    </w:p>
    <w:p w:rsidR="00000000" w:rsidDel="00000000" w:rsidP="00000000" w:rsidRDefault="00000000" w:rsidRPr="00000000" w14:paraId="0000009C">
      <w:pPr>
        <w:numPr>
          <w:ilvl w:val="0"/>
          <w:numId w:val="6"/>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essential skills are required for success in the role?</w:t>
      </w:r>
    </w:p>
    <w:p w:rsidR="00000000" w:rsidDel="00000000" w:rsidP="00000000" w:rsidRDefault="00000000" w:rsidRPr="00000000" w14:paraId="0000009D">
      <w:pPr>
        <w:numPr>
          <w:ilvl w:val="0"/>
          <w:numId w:val="6"/>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education and training pathways are typically pursued to become a dental assistant or dental hygienist?</w:t>
      </w:r>
    </w:p>
    <w:p w:rsidR="00000000" w:rsidDel="00000000" w:rsidP="00000000" w:rsidRDefault="00000000" w:rsidRPr="00000000" w14:paraId="0000009E">
      <w:pPr>
        <w:numPr>
          <w:ilvl w:val="0"/>
          <w:numId w:val="6"/>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do dental assistants/dental hygienists utilize technology and tools in their daily tasks?</w:t>
        <w:br w:type="textWrapping"/>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w:t>
      </w:r>
    </w:p>
    <w:p w:rsidR="00000000" w:rsidDel="00000000" w:rsidP="00000000" w:rsidRDefault="00000000" w:rsidRPr="00000000" w14:paraId="000000A0">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Assign roles within the group, such as a researcher, note-taker, and presenter.</w:t>
      </w:r>
    </w:p>
    <w:p w:rsidR="00000000" w:rsidDel="00000000" w:rsidP="00000000" w:rsidRDefault="00000000" w:rsidRPr="00000000" w14:paraId="000000A1">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Explore the provided links and gather information based on the common research questions.</w:t>
      </w:r>
    </w:p>
    <w:p w:rsidR="00000000" w:rsidDel="00000000" w:rsidP="00000000" w:rsidRDefault="00000000" w:rsidRPr="00000000" w14:paraId="000000A2">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Take notes on key findings, statistics, and any relevant details.</w:t>
        <w:br w:type="textWrapping"/>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time for group research. Circulate among the groups to provide guidance and answer questions as needed.</w:t>
      </w:r>
    </w:p>
    <w:p w:rsidR="00000000" w:rsidDel="00000000" w:rsidP="00000000" w:rsidRDefault="00000000" w:rsidRPr="00000000" w14:paraId="000000A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research is complete, instruct each group to prepare a presentation summarizing their findings. They should address the common research questions and highlight key insights about the selected dental health career.</w:t>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all groups or a few present their findings depending on the time available. </w:t>
        <w:br w:type="textWrapping"/>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Compare and contrast the roles of dental assistants and dental hygienists based on the shared research questions. Guide students in reflecting on how the presented information aligns with the soft skills discussed earlier in the lesson, such as communication and professionalism.</w:t>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they can work on a short writing activity and once it’s completed, they can research on these roles using the links from the reading comprehension section. </w:t>
      </w:r>
    </w:p>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widowControl w:val="0"/>
        <w:spacing w:line="240" w:lineRule="auto"/>
        <w:rPr>
          <w:rFonts w:ascii="Nunito" w:cs="Nunito" w:eastAsia="Nunito" w:hAnsi="Nunito"/>
          <w:i w:val="1"/>
        </w:rPr>
      </w:pPr>
      <w:r w:rsidDel="00000000" w:rsidR="00000000" w:rsidRPr="00000000">
        <w:rPr>
          <w:rFonts w:ascii="Nunito" w:cs="Nunito" w:eastAsia="Nunito" w:hAnsi="Nunito"/>
          <w:rtl w:val="0"/>
        </w:rPr>
        <w:t xml:space="preserve">Provide the following prompt:  </w:t>
      </w:r>
      <w:r w:rsidDel="00000000" w:rsidR="00000000" w:rsidRPr="00000000">
        <w:rPr>
          <w:rFonts w:ascii="Nunito" w:cs="Nunito" w:eastAsia="Nunito" w:hAnsi="Nunito"/>
          <w:i w:val="1"/>
          <w:rtl w:val="0"/>
        </w:rPr>
        <w:t xml:space="preserve">"Imagine you are a dental assistant or dental hygienist. Write a short paragraph about a typical day in your job."</w:t>
      </w:r>
    </w:p>
    <w:p w:rsidR="00000000" w:rsidDel="00000000" w:rsidP="00000000" w:rsidRDefault="00000000" w:rsidRPr="00000000" w14:paraId="000000B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using this time to provide individual support for reading comprehension or writing for students. </w:t>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and work with students individually.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 detailed paragraph with multiple examples. </w:t>
            </w:r>
            <w:r w:rsidDel="00000000" w:rsidR="00000000" w:rsidRPr="00000000">
              <w:rPr>
                <w:rtl w:val="0"/>
              </w:rPr>
            </w:r>
          </w:p>
        </w:tc>
      </w:tr>
    </w:tbl>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A">
      <w:pPr>
        <w:spacing w:line="240" w:lineRule="auto"/>
        <w:rPr>
          <w:rFonts w:ascii="Nunito" w:cs="Nunito" w:eastAsia="Nunito" w:hAnsi="Nunito"/>
        </w:rPr>
      </w:pPr>
      <w:r w:rsidDel="00000000" w:rsidR="00000000" w:rsidRPr="00000000">
        <w:rPr>
          <w:rFonts w:ascii="Nunito" w:cs="Nunito" w:eastAsia="Nunito" w:hAnsi="Nunito"/>
          <w:rtl w:val="0"/>
        </w:rPr>
        <w:t xml:space="preserve">Review key concepts from the lesson and discuss how communication, professionalism, and attitude are essential soft skills in dental health careers.</w:t>
      </w:r>
    </w:p>
    <w:p w:rsidR="00000000" w:rsidDel="00000000" w:rsidP="00000000" w:rsidRDefault="00000000" w:rsidRPr="00000000" w14:paraId="000000B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F">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2">
            <w:pPr>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the words listed below. </w:t>
            </w:r>
          </w:p>
        </w:tc>
      </w:tr>
    </w:tbl>
    <w:p w:rsidR="00000000" w:rsidDel="00000000" w:rsidP="00000000" w:rsidRDefault="00000000" w:rsidRPr="00000000" w14:paraId="000000C3">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f95ya3fcy61i" w:id="6"/>
      <w:bookmarkEnd w:id="6"/>
      <w:r w:rsidDel="00000000" w:rsidR="00000000" w:rsidRPr="00000000">
        <w:rPr>
          <w:rFonts w:ascii="Nunito" w:cs="Nunito" w:eastAsia="Nunito" w:hAnsi="Nunito"/>
          <w:b w:val="1"/>
          <w:sz w:val="24"/>
          <w:szCs w:val="24"/>
          <w:highlight w:val="white"/>
        </w:rPr>
        <w:drawing>
          <wp:inline distB="114300" distT="114300" distL="114300" distR="114300">
            <wp:extent cx="6645600" cy="5791200"/>
            <wp:effectExtent b="0" l="0" r="0" t="0"/>
            <wp:docPr id="2"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6645600" cy="57912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7"/>
      <w:bookmarkEnd w:id="7"/>
      <w:r w:rsidDel="00000000" w:rsidR="00000000" w:rsidRPr="00000000">
        <w:rPr>
          <w:rtl w:val="0"/>
        </w:rPr>
      </w:r>
    </w:p>
    <w:p w:rsidR="00000000" w:rsidDel="00000000" w:rsidP="00000000" w:rsidRDefault="00000000" w:rsidRPr="00000000" w14:paraId="000000C5">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C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5">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8">
      <w:pPr>
        <w:spacing w:line="240" w:lineRule="auto"/>
        <w:jc w:val="left"/>
        <w:rPr>
          <w:rFonts w:ascii="Nunito" w:cs="Nunito" w:eastAsia="Nunito" w:hAnsi="Nunito"/>
          <w:color w:val="333333"/>
          <w:highlight w:val="white"/>
        </w:rPr>
      </w:pPr>
      <w:r w:rsidDel="00000000" w:rsidR="00000000" w:rsidRPr="00000000">
        <w:rPr>
          <w:rtl w:val="0"/>
        </w:rPr>
      </w:r>
    </w:p>
    <w:sectPr>
      <w:headerReference r:id="rId29" w:type="default"/>
      <w:footerReference r:id="rId3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C">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D">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onetonline.org/link/summary/31-9091.00" TargetMode="External"/><Relationship Id="rId13" Type="http://schemas.openxmlformats.org/officeDocument/2006/relationships/hyperlink" Target="https://www.education.com/worksheet/article/choose-the-unit-liquid-volume/" TargetMode="External"/><Relationship Id="rId18" Type="http://schemas.openxmlformats.org/officeDocument/2006/relationships/hyperlink" Target="https://tools.nccareers.org/careerguide/clusters_pathways.html" TargetMode="External"/><Relationship Id="rId21" Type="http://schemas.openxmlformats.org/officeDocument/2006/relationships/hyperlink" Target="https://www.onetonline.org/" TargetMode="External"/><Relationship Id="rId3" Type="http://schemas.openxmlformats.org/officeDocument/2006/relationships/fontTable" Target="fontTable.xml"/><Relationship Id="rId25" Type="http://schemas.openxmlformats.org/officeDocument/2006/relationships/hyperlink" Target="https://www.education.com/worksheet/article/liquid-volume-equivalents-1/" TargetMode="External"/><Relationship Id="rId7" Type="http://schemas.openxmlformats.org/officeDocument/2006/relationships/hyperlink" Target="https://www.education.com/worksheet/article/choose-the-unit-liquid-volume/" TargetMode="External"/><Relationship Id="rId12" Type="http://schemas.openxmlformats.org/officeDocument/2006/relationships/hyperlink" Target="https://www.education.com/" TargetMode="External"/><Relationship Id="rId17" Type="http://schemas.openxmlformats.org/officeDocument/2006/relationships/hyperlink" Target="https://docs.google.com/document/d/1E4VPt2GxAHyTX4Xi5Mf6R_LJVthpwh6UOfXWiEGXjYg/edit#" TargetMode="External"/><Relationship Id="rId33" Type="http://schemas.openxmlformats.org/officeDocument/2006/relationships/customXml" Target="../customXml/item3.xml"/><Relationship Id="rId20" Type="http://schemas.openxmlformats.org/officeDocument/2006/relationships/hyperlink" Target="https://drive.google.com/drive/u/0/folders/1vb4PuUX5uvY2DhZyc_Np4MqZgNLyrip3" TargetMode="External"/><Relationship Id="rId2" Type="http://schemas.openxmlformats.org/officeDocument/2006/relationships/settings" Target="settings.xml"/><Relationship Id="rId29" Type="http://schemas.openxmlformats.org/officeDocument/2006/relationships/header" Target="header1.xml"/><Relationship Id="rId16" Type="http://schemas.openxmlformats.org/officeDocument/2006/relationships/hyperlink" Target="https://www.bls.gov/ooh/healthcare/dental-hygienists.htm#tab-6" TargetMode="External"/><Relationship Id="rId24" Type="http://schemas.openxmlformats.org/officeDocument/2006/relationships/hyperlink" Target="https://www.education.com/worksheet/article/choose-the-unit-liquid-volume/"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find/career?c=2" TargetMode="External"/><Relationship Id="rId32" Type="http://schemas.openxmlformats.org/officeDocument/2006/relationships/customXml" Target="../customXml/item2.xml"/><Relationship Id="rId23" Type="http://schemas.openxmlformats.org/officeDocument/2006/relationships/hyperlink" Target="https://www.bls.gov/ooh/healthcare/dental-hygienists.htm#tab-6" TargetMode="External"/><Relationship Id="rId28"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bls.gov/ooh/healthcare/dental-assistants.htm#tab-6" TargetMode="External"/><Relationship Id="rId10" Type="http://schemas.openxmlformats.org/officeDocument/2006/relationships/hyperlink" Target="https://www.bls.gov/ooh/healthcare/dental-hygienists.htm#tab-6" TargetMode="External"/><Relationship Id="rId19" Type="http://schemas.openxmlformats.org/officeDocument/2006/relationships/hyperlink" Target="https://www.onetonline.org/" TargetMode="External"/><Relationship Id="rId31" Type="http://schemas.openxmlformats.org/officeDocument/2006/relationships/customXml" Target="../customXml/item1.xml"/><Relationship Id="rId22" Type="http://schemas.openxmlformats.org/officeDocument/2006/relationships/hyperlink" Target="https://www.bls.gov/ooh/healthcare/dental-assistants.htm#tab-6" TargetMode="External"/><Relationship Id="rId4" Type="http://schemas.openxmlformats.org/officeDocument/2006/relationships/numbering" Target="numbering.xml"/><Relationship Id="rId9" Type="http://schemas.openxmlformats.org/officeDocument/2006/relationships/hyperlink" Target="https://www.bls.gov/ooh/healthcare/dental-assistants.htm#tab-6" TargetMode="External"/><Relationship Id="rId27" Type="http://schemas.openxmlformats.org/officeDocument/2006/relationships/hyperlink" Target="https://www.onetonline.org/link/summary/29-1292.00" TargetMode="External"/><Relationship Id="rId30" Type="http://schemas.openxmlformats.org/officeDocument/2006/relationships/footer" Target="footer1.xml"/><Relationship Id="rId14" Type="http://schemas.openxmlformats.org/officeDocument/2006/relationships/hyperlink" Target="https://www.education.com/worksheet/article/liquid-volume-equivalents-1/" TargetMode="External"/><Relationship Id="rId8" Type="http://schemas.openxmlformats.org/officeDocument/2006/relationships/hyperlink" Target="https://www.education.com/worksheet/article/liquid-volume-equivalent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C5944759-6B67-430E-A486-CC9ACA8CED96}"/>
</file>

<file path=customXml/itemProps2.xml><?xml version="1.0" encoding="utf-8"?>
<ds:datastoreItem xmlns:ds="http://schemas.openxmlformats.org/officeDocument/2006/customXml" ds:itemID="{67ECFD14-1093-4FF8-8149-869A4A670AEE}"/>
</file>

<file path=customXml/itemProps3.xml><?xml version="1.0" encoding="utf-8"?>
<ds:datastoreItem xmlns:ds="http://schemas.openxmlformats.org/officeDocument/2006/customXml" ds:itemID="{FC113BEC-69D7-4D67-950B-D8E738D3D11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